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26-91</w:t>
      </w:r>
    </w:p>
    <w:p>
      <w:pPr>
        <w:spacing w:before="0" w:after="0" w:line="480"/>
        <w:ind w:left="120"/>
        <w:jc w:val="left"/>
      </w:pPr>
    </w:p>
    <w:p>
      <w:pPr>
        <w:spacing w:before="0" w:after="0" w:line="480"/>
        <w:ind w:left="120"/>
        <w:jc w:val="center"/>
      </w:pPr>
      <w:r>
        <w:rPr>
          <w:rFonts w:ascii="Times New Roman" w:hAnsi="Times New Roman"/>
          <w:b/>
          <w:i w:val="false"/>
          <w:color w:val="000000"/>
          <w:sz w:val="28"/>
        </w:rPr>
        <w:t>IOWA FINANCE AUTHORITY[265]</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265—27.2(16)</w:t>
      </w:r>
    </w:p>
    <w:p>
      <w:pPr>
        <w:spacing w:before="0" w:after="0" w:line="480"/>
        <w:ind w:left="120"/>
        <w:jc w:val="center"/>
      </w:pPr>
      <w:r>
        <w:rPr>
          <w:rFonts w:ascii="Times New Roman" w:hAnsi="Times New Roman"/>
          <w:b w:val="false"/>
          <w:i w:val="false"/>
          <w:color w:val="000000"/>
          <w:sz w:val="24"/>
        </w:rPr>
        <w:t>“Military Service Member Home Ownership Assistance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16.5(1)“r” and 16.54</w:t>
      </w:r>
    </w:p>
    <w:p>
      <w:pPr>
        <w:spacing w:before="0" w:after="0" w:line="480"/>
        <w:ind w:left="120"/>
        <w:jc w:val="both"/>
      </w:pPr>
      <w:r>
        <w:rPr>
          <w:rFonts w:ascii="Times New Roman" w:hAnsi="Times New Roman"/>
          <w:b w:val="false"/>
          <w:i w:val="false"/>
          <w:color w:val="000000"/>
          <w:sz w:val="24"/>
        </w:rPr>
        <w:t>State or federal law(s) implemented by the rulemaking: Iowa Code sections 16.5(1)“r” and 16.54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608"/>
        <w:gridCol w:w="6912"/>
      </w:tblGrid>
      <w:tr>
        <w:trPr>
          <w:trHeight w:val="1950" w:hRule="atLeast"/>
        </w:trPr>
        <w:tc>
          <w:tcPr>
            <w:tcW w:w="46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9:45 to 10 a.m.</w:t>
            </w:r>
          </w:p>
        </w:tc>
        <w:tc>
          <w:tcPr>
            <w:tcW w:w="691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Via Microsoft Teams</w:t>
            </w:r>
            <w:r>
              <w:br/>
            </w:r>
            <w:r>
              <w:rPr>
                <w:rFonts w:ascii="Times New Roman" w:hAnsi="Times New Roman"/>
                <w:b w:val="false"/>
                <w:i w:val="false"/>
                <w:color w:val="000000"/>
                <w:sz w:val="21"/>
              </w:rPr>
              <w:t>Information about Teams participation can be found at</w:t>
            </w:r>
            <w:r>
              <w:br/>
            </w:r>
            <w:hyperlink r:id="rId4">
              <w:r>
                <w:rPr>
                  <w:rStyle w:val="Hyperlink"/>
                  <w:rFonts w:ascii="Times New Roman" w:hAnsi="Times New Roman"/>
                  <w:b w:val="false"/>
                  <w:i w:val="false"/>
                  <w:color w:val="0000ff"/>
                  <w:sz w:val="24"/>
                </w:rPr>
                <w:t>opportunityiowa.gov/about/iowa-finance-authority/ifa-red-tape-review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persons may submit written comments concerning this Regulatory Analysis, which must be received by the Iowa Finance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863"/>
      </w:tblGrid>
      <w:tr>
        <w:trPr>
          <w:trHeight w:val="2430" w:hRule="atLeast"/>
        </w:trPr>
        <w:tc>
          <w:tcPr>
            <w:tcW w:w="48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Reid Nennig</w:t>
            </w:r>
            <w:r>
              <w:br/>
            </w:r>
            <w:r>
              <w:rPr>
                <w:rFonts w:ascii="Times New Roman" w:hAnsi="Times New Roman"/>
                <w:b w:val="false"/>
                <w:i w:val="false"/>
                <w:color w:val="000000"/>
                <w:sz w:val="21"/>
              </w:rPr>
              <w:t>Iowa Finance Authority</w:t>
            </w:r>
            <w:r>
              <w:br/>
            </w:r>
            <w:r>
              <w:rPr>
                <w:rFonts w:ascii="Times New Roman" w:hAnsi="Times New Roman"/>
                <w:b w:val="false"/>
                <w:i w:val="false"/>
                <w:color w:val="000000"/>
                <w:sz w:val="21"/>
              </w:rPr>
              <w:t>1963 Bell Avenue, Suite 200</w:t>
            </w:r>
            <w:r>
              <w:br/>
            </w:r>
            <w:r>
              <w:rPr>
                <w:rFonts w:ascii="Times New Roman" w:hAnsi="Times New Roman"/>
                <w:b w:val="false"/>
                <w:i w:val="false"/>
                <w:color w:val="000000"/>
                <w:sz w:val="21"/>
              </w:rPr>
              <w:t>Des Moines, Iowa 50315</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reid.nennig@iowafinance.com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amend rule 265—27.2(16) to clarify existing policy regarding the definition of “eligible service member.”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Facilitating lenders who incur the annual application fee will inherently bear some cost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Lenders and eligible service members, as well as Authority staff, may benefit from the improved clarity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Authority staff may incur the cost of reviewing and doing due diligence regarding applications. Facilitating lenders may incur the cost of the annual application fee.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provide clarity about the eligibility criteria for this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Authority incurs staff time to administer this program, including reviewing and doing due diligence regarding applications. The Iowa Department of Veterans Affairs incurs staff time to verify service member eligibility.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has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does not impose any additional cost on facilitating lenders.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less costly methods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alternative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265—27.2(16)</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“Eligible service member,”</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service member”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16.54</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the purposes of this definition, “active duty” means service, other than training, under Title 10 or Title 32 of the United States Code as in effect on [effective date of this rulemaking].</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finance-authority/ifa-red-tape-review" Type="http://schemas.openxmlformats.org/officeDocument/2006/relationships/hyperlink" Id="rId4"/>
    <Relationship TargetMode="External" Target="mailto:reid.nennig@iowafinance.com" Type="http://schemas.openxmlformats.org/officeDocument/2006/relationships/hyperlink" Id="rId5"/>
    <Relationship TargetMode="External" Target="https://www.legis.iowa.gov/docs/ico/chapter/16.5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